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F6363" w14:textId="50EE3654" w:rsidR="006D6E1E" w:rsidRDefault="002D29D7">
      <w:pPr>
        <w:jc w:val="center"/>
        <w:rPr>
          <w:rFonts w:ascii="Calibri" w:eastAsia="Calibri" w:hAnsi="Calibri" w:cs="Calibri"/>
          <w:color w:val="000000"/>
        </w:rPr>
      </w:pPr>
      <w:r>
        <w:rPr>
          <w:rFonts w:ascii="Calibri" w:eastAsia="Calibri" w:hAnsi="Calibri" w:cs="Calibri"/>
          <w:noProof/>
          <w:color w:val="000000"/>
        </w:rPr>
        <w:drawing>
          <wp:inline distT="0" distB="0" distL="0" distR="0" wp14:anchorId="6E7469AA" wp14:editId="12391B3A">
            <wp:extent cx="676656" cy="682005"/>
            <wp:effectExtent l="0" t="0" r="0" b="381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6656" cy="682005"/>
                    </a:xfrm>
                    <a:prstGeom prst="rect">
                      <a:avLst/>
                    </a:prstGeom>
                  </pic:spPr>
                </pic:pic>
              </a:graphicData>
            </a:graphic>
          </wp:inline>
        </w:drawing>
      </w:r>
      <w:r w:rsidR="00F53248">
        <w:rPr>
          <w:rFonts w:ascii="Calibri" w:eastAsia="Calibri" w:hAnsi="Calibri" w:cs="Calibri"/>
          <w:color w:val="000000"/>
        </w:rPr>
        <w:t xml:space="preserve">  </w:t>
      </w:r>
      <w:r>
        <w:rPr>
          <w:rFonts w:ascii="Calibri" w:eastAsia="Calibri" w:hAnsi="Calibri" w:cs="Calibri"/>
          <w:color w:val="000000"/>
        </w:rPr>
        <w:t xml:space="preserve">   </w:t>
      </w:r>
      <w:r w:rsidR="00F53248">
        <w:rPr>
          <w:rFonts w:ascii="Calibri" w:eastAsia="Calibri" w:hAnsi="Calibri" w:cs="Calibri"/>
          <w:color w:val="000000"/>
        </w:rPr>
        <w:t xml:space="preserve"> </w:t>
      </w:r>
      <w:r>
        <w:rPr>
          <w:rFonts w:ascii="Calibri" w:eastAsia="Calibri" w:hAnsi="Calibri" w:cs="Calibri"/>
          <w:noProof/>
          <w:color w:val="000000"/>
        </w:rPr>
        <w:drawing>
          <wp:inline distT="0" distB="0" distL="0" distR="0" wp14:anchorId="4609E638" wp14:editId="65AD8EEC">
            <wp:extent cx="585216" cy="683497"/>
            <wp:effectExtent l="0" t="0" r="0" b="254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5216" cy="683497"/>
                    </a:xfrm>
                    <a:prstGeom prst="rect">
                      <a:avLst/>
                    </a:prstGeom>
                  </pic:spPr>
                </pic:pic>
              </a:graphicData>
            </a:graphic>
          </wp:inline>
        </w:drawing>
      </w:r>
      <w:r w:rsidR="00F53248">
        <w:rPr>
          <w:rFonts w:ascii="Calibri" w:eastAsia="Calibri" w:hAnsi="Calibri" w:cs="Calibri"/>
          <w:color w:val="000000"/>
        </w:rPr>
        <w:t xml:space="preserve"> </w:t>
      </w:r>
      <w:r>
        <w:rPr>
          <w:rFonts w:ascii="Calibri" w:eastAsia="Calibri" w:hAnsi="Calibri" w:cs="Calibri"/>
          <w:color w:val="000000"/>
        </w:rPr>
        <w:t xml:space="preserve"> </w:t>
      </w:r>
      <w:r w:rsidR="00F53248">
        <w:rPr>
          <w:rFonts w:ascii="Calibri" w:eastAsia="Calibri" w:hAnsi="Calibri" w:cs="Calibri"/>
          <w:color w:val="000000"/>
        </w:rPr>
        <w:t xml:space="preserve">  </w:t>
      </w:r>
      <w:r w:rsidR="00F53248">
        <w:rPr>
          <w:noProof/>
        </w:rPr>
        <w:drawing>
          <wp:inline distT="0" distB="0" distL="0" distR="0" wp14:anchorId="6564DA83" wp14:editId="691FCB53">
            <wp:extent cx="2119427" cy="39197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7670" t="13309" r="7974" b="49189"/>
                    <a:stretch>
                      <a:fillRect/>
                    </a:stretch>
                  </pic:blipFill>
                  <pic:spPr>
                    <a:xfrm>
                      <a:off x="0" y="0"/>
                      <a:ext cx="2119427" cy="391975"/>
                    </a:xfrm>
                    <a:prstGeom prst="rect">
                      <a:avLst/>
                    </a:prstGeom>
                    <a:ln/>
                  </pic:spPr>
                </pic:pic>
              </a:graphicData>
            </a:graphic>
          </wp:inline>
        </w:drawing>
      </w:r>
      <w:r w:rsidR="00F53248">
        <w:rPr>
          <w:rFonts w:ascii="Calibri" w:eastAsia="Calibri" w:hAnsi="Calibri" w:cs="Calibri"/>
          <w:color w:val="000000"/>
        </w:rPr>
        <w:t xml:space="preserve">   </w:t>
      </w:r>
      <w:r w:rsidR="00F53248">
        <w:rPr>
          <w:rFonts w:ascii="Calibri" w:eastAsia="Calibri" w:hAnsi="Calibri" w:cs="Calibri"/>
          <w:noProof/>
          <w:color w:val="000000"/>
        </w:rPr>
        <w:drawing>
          <wp:inline distT="0" distB="0" distL="0" distR="0" wp14:anchorId="03C81309" wp14:editId="2D8EF89E">
            <wp:extent cx="807480" cy="587902"/>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07480" cy="587902"/>
                    </a:xfrm>
                    <a:prstGeom prst="rect">
                      <a:avLst/>
                    </a:prstGeom>
                    <a:ln/>
                  </pic:spPr>
                </pic:pic>
              </a:graphicData>
            </a:graphic>
          </wp:inline>
        </w:drawing>
      </w:r>
    </w:p>
    <w:p w14:paraId="4344C407" w14:textId="77777777" w:rsidR="006D6E1E" w:rsidRDefault="006D6E1E">
      <w:pPr>
        <w:jc w:val="center"/>
        <w:rPr>
          <w:b/>
          <w:color w:val="0070C0"/>
          <w:sz w:val="36"/>
          <w:szCs w:val="36"/>
          <w:highlight w:val="white"/>
        </w:rPr>
      </w:pPr>
    </w:p>
    <w:p w14:paraId="40210C12" w14:textId="77777777" w:rsidR="006D6E1E" w:rsidRDefault="00F53248">
      <w:pPr>
        <w:jc w:val="center"/>
        <w:rPr>
          <w:b/>
          <w:color w:val="0070C0"/>
          <w:sz w:val="32"/>
          <w:szCs w:val="32"/>
          <w:highlight w:val="white"/>
        </w:rPr>
      </w:pPr>
      <w:r>
        <w:rPr>
          <w:b/>
          <w:color w:val="0070C0"/>
          <w:sz w:val="32"/>
          <w:szCs w:val="32"/>
          <w:highlight w:val="white"/>
        </w:rPr>
        <w:t>Enhancing Support for the Sustainable Blue Economy: Scaling Innovative, Transformative and Durable Investments in SIDS</w:t>
      </w:r>
    </w:p>
    <w:p w14:paraId="4ED8EBF9" w14:textId="77777777" w:rsidR="006D6E1E" w:rsidRDefault="006D6E1E">
      <w:pPr>
        <w:jc w:val="both"/>
        <w:rPr>
          <w:highlight w:val="white"/>
        </w:rPr>
      </w:pPr>
    </w:p>
    <w:p w14:paraId="72E19CB3" w14:textId="77777777" w:rsidR="006D6E1E" w:rsidRPr="00F53248" w:rsidRDefault="00F53248">
      <w:pPr>
        <w:jc w:val="center"/>
        <w:rPr>
          <w:color w:val="0070C0"/>
          <w:highlight w:val="white"/>
          <w:vertAlign w:val="subscript"/>
        </w:rPr>
      </w:pPr>
      <w:r>
        <w:rPr>
          <w:color w:val="0070C0"/>
          <w:highlight w:val="white"/>
        </w:rPr>
        <w:t>UN Ocean Conference</w:t>
      </w:r>
    </w:p>
    <w:p w14:paraId="544578C9" w14:textId="77777777" w:rsidR="006D6E1E" w:rsidRDefault="00F53248">
      <w:pPr>
        <w:jc w:val="center"/>
        <w:rPr>
          <w:color w:val="0070C0"/>
          <w:highlight w:val="white"/>
        </w:rPr>
      </w:pPr>
      <w:r>
        <w:rPr>
          <w:color w:val="0070C0"/>
          <w:highlight w:val="white"/>
        </w:rPr>
        <w:t>Thursday, July 30, 2022 (13:30 – 14:45)</w:t>
      </w:r>
    </w:p>
    <w:p w14:paraId="0837974E" w14:textId="77777777" w:rsidR="006D6E1E" w:rsidRDefault="00F53248">
      <w:pPr>
        <w:jc w:val="center"/>
        <w:rPr>
          <w:color w:val="0070C0"/>
          <w:highlight w:val="white"/>
        </w:rPr>
      </w:pPr>
      <w:r>
        <w:rPr>
          <w:color w:val="0070C0"/>
          <w:highlight w:val="white"/>
        </w:rPr>
        <w:t>Side Event Room 2, Altice Arena</w:t>
      </w:r>
    </w:p>
    <w:p w14:paraId="57B44E78" w14:textId="77777777" w:rsidR="006D6E1E" w:rsidRDefault="00F53248">
      <w:pPr>
        <w:jc w:val="center"/>
        <w:rPr>
          <w:color w:val="0070C0"/>
          <w:highlight w:val="white"/>
        </w:rPr>
      </w:pPr>
      <w:r>
        <w:rPr>
          <w:color w:val="0070C0"/>
          <w:highlight w:val="white"/>
        </w:rPr>
        <w:t>Lisbon, Portugal</w:t>
      </w:r>
    </w:p>
    <w:p w14:paraId="3B334835" w14:textId="77777777" w:rsidR="006D6E1E" w:rsidRDefault="00F53248">
      <w:pPr>
        <w:shd w:val="clear" w:color="auto" w:fill="FFFFFF"/>
        <w:jc w:val="both"/>
        <w:rPr>
          <w:rFonts w:ascii="Times New Roman" w:eastAsia="Times New Roman" w:hAnsi="Times New Roman" w:cs="Times New Roman"/>
          <w:b/>
          <w:color w:val="0070C0"/>
          <w:sz w:val="22"/>
          <w:szCs w:val="22"/>
        </w:rPr>
      </w:pPr>
      <w:r>
        <w:rPr>
          <w:rFonts w:ascii="Times New Roman" w:eastAsia="Times New Roman" w:hAnsi="Times New Roman" w:cs="Times New Roman"/>
          <w:b/>
          <w:color w:val="0070C0"/>
          <w:sz w:val="22"/>
          <w:szCs w:val="22"/>
        </w:rPr>
        <w:t>Background</w:t>
      </w:r>
    </w:p>
    <w:p w14:paraId="3965E156" w14:textId="77777777" w:rsidR="006D6E1E" w:rsidRDefault="006D6E1E">
      <w:pPr>
        <w:shd w:val="clear" w:color="auto" w:fill="FFFFFF"/>
        <w:jc w:val="both"/>
        <w:rPr>
          <w:rFonts w:ascii="Times New Roman" w:eastAsia="Times New Roman" w:hAnsi="Times New Roman" w:cs="Times New Roman"/>
          <w:color w:val="000000"/>
          <w:sz w:val="22"/>
          <w:szCs w:val="22"/>
        </w:rPr>
      </w:pPr>
    </w:p>
    <w:p w14:paraId="1482700B" w14:textId="77777777" w:rsidR="006D6E1E" w:rsidRDefault="00F53248">
      <w:pPr>
        <w:shd w:val="clear" w:color="auto" w:fill="FFFFFF"/>
        <w:jc w:val="both"/>
        <w:rPr>
          <w:rFonts w:ascii="Times New Roman" w:eastAsia="Times New Roman" w:hAnsi="Times New Roman" w:cs="Times New Roman"/>
          <w:color w:val="000000"/>
          <w:sz w:val="22"/>
          <w:szCs w:val="22"/>
        </w:rPr>
      </w:pPr>
      <w:bookmarkStart w:id="0" w:name="_heading=h.30j0zll" w:colFirst="0" w:colLast="0"/>
      <w:bookmarkEnd w:id="0"/>
      <w:r>
        <w:rPr>
          <w:rFonts w:ascii="Times New Roman" w:eastAsia="Times New Roman" w:hAnsi="Times New Roman" w:cs="Times New Roman"/>
          <w:color w:val="000000"/>
          <w:sz w:val="22"/>
          <w:szCs w:val="22"/>
        </w:rPr>
        <w:t xml:space="preserve">In Small Island Developing States (SIDS), which are the stewards of some of the largest ocean territories, the </w:t>
      </w:r>
      <w:r>
        <w:rPr>
          <w:rFonts w:ascii="Times New Roman" w:eastAsia="Times New Roman" w:hAnsi="Times New Roman" w:cs="Times New Roman"/>
          <w:i/>
          <w:color w:val="000000"/>
          <w:sz w:val="22"/>
          <w:szCs w:val="22"/>
        </w:rPr>
        <w:t>sustainable blue economy</w:t>
      </w:r>
      <w:r>
        <w:rPr>
          <w:rFonts w:ascii="Times New Roman" w:eastAsia="Times New Roman" w:hAnsi="Times New Roman" w:cs="Times New Roman"/>
          <w:color w:val="000000"/>
          <w:sz w:val="22"/>
          <w:szCs w:val="22"/>
        </w:rPr>
        <w:t xml:space="preserve"> agenda could be transformative for national development agendas. The benefits of investing in sustainable ocean opportunities are estimated to be at least five times the costs. Recognizing this potential, and motivated by the emerging evidence of ocean de</w:t>
      </w:r>
      <w:r>
        <w:rPr>
          <w:rFonts w:ascii="Times New Roman" w:eastAsia="Times New Roman" w:hAnsi="Times New Roman" w:cs="Times New Roman"/>
          <w:color w:val="000000"/>
          <w:sz w:val="22"/>
          <w:szCs w:val="22"/>
        </w:rPr>
        <w:t>cline, recent years have seen a surge in national commitments to ocean conservation. Yet, underneath these ambitions to conserve and sustainably use ocean resources lies a great diversity of assumptions concerning the relative importance of different goals</w:t>
      </w:r>
      <w:r>
        <w:rPr>
          <w:rFonts w:ascii="Times New Roman" w:eastAsia="Times New Roman" w:hAnsi="Times New Roman" w:cs="Times New Roman"/>
          <w:color w:val="000000"/>
          <w:sz w:val="22"/>
          <w:szCs w:val="22"/>
        </w:rPr>
        <w:t>, and their meaning in practice. With regards to sustainable use, the sustainable blue economy agenda is often portrayed as “win-win”; however, there are often trade-offs that are unrealized or ignored. Many approaches to reaping economic benefits from mar</w:t>
      </w:r>
      <w:r>
        <w:rPr>
          <w:rFonts w:ascii="Times New Roman" w:eastAsia="Times New Roman" w:hAnsi="Times New Roman" w:cs="Times New Roman"/>
          <w:color w:val="000000"/>
          <w:sz w:val="22"/>
          <w:szCs w:val="22"/>
        </w:rPr>
        <w:t>ine resources risk depleting marine species and ecosystems, which then compromises long-term economic benefits and local livelihoods. Indeed, there are significant risks that a rapid increase in public and private investment in ocean industries can acceler</w:t>
      </w:r>
      <w:r>
        <w:rPr>
          <w:rFonts w:ascii="Times New Roman" w:eastAsia="Times New Roman" w:hAnsi="Times New Roman" w:cs="Times New Roman"/>
          <w:color w:val="000000"/>
          <w:sz w:val="22"/>
          <w:szCs w:val="22"/>
        </w:rPr>
        <w:t>ate trends that are environmentally destructive, increase social inequity and undermine human wellbeing. </w:t>
      </w:r>
    </w:p>
    <w:p w14:paraId="6B111AA1" w14:textId="77777777" w:rsidR="006D6E1E" w:rsidRDefault="006D6E1E">
      <w:pPr>
        <w:shd w:val="clear" w:color="auto" w:fill="FFFFFF"/>
        <w:jc w:val="both"/>
        <w:rPr>
          <w:rFonts w:ascii="Times New Roman" w:eastAsia="Times New Roman" w:hAnsi="Times New Roman" w:cs="Times New Roman"/>
          <w:color w:val="000000"/>
          <w:sz w:val="22"/>
          <w:szCs w:val="22"/>
        </w:rPr>
      </w:pPr>
    </w:p>
    <w:p w14:paraId="0A377B04" w14:textId="77777777" w:rsidR="006D6E1E" w:rsidRDefault="00F53248">
      <w:pP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SIDS are leading by example in their commitment to conserve and sustainably manage that which is vital for the lives and livelihoods of their people.</w:t>
      </w:r>
      <w:r>
        <w:rPr>
          <w:rFonts w:ascii="Times New Roman" w:eastAsia="Times New Roman" w:hAnsi="Times New Roman" w:cs="Times New Roman"/>
          <w:color w:val="000000"/>
          <w:sz w:val="22"/>
          <w:szCs w:val="22"/>
        </w:rPr>
        <w:t xml:space="preserve"> However, to meet their ocean conservation/ blue economy goals, considerable finance is required, and SIDS simply do not have fiscal space to unlock the capital necessary to accomplish this. Blue bonds are emerging as an innovative way to fund ocean and wa</w:t>
      </w:r>
      <w:r>
        <w:rPr>
          <w:rFonts w:ascii="Times New Roman" w:eastAsia="Times New Roman" w:hAnsi="Times New Roman" w:cs="Times New Roman"/>
          <w:color w:val="000000"/>
          <w:sz w:val="22"/>
          <w:szCs w:val="22"/>
        </w:rPr>
        <w:t xml:space="preserve">ter-related solutions, create sustainable business opportunities, and signal responsible ocean stewardship to the market. Today, blue bonds are where green bonds were ten years ago, and the market is poised to see similarly fast growth. Currently </w:t>
      </w:r>
      <w:proofErr w:type="gramStart"/>
      <w:r>
        <w:rPr>
          <w:rFonts w:ascii="Times New Roman" w:eastAsia="Times New Roman" w:hAnsi="Times New Roman" w:cs="Times New Roman"/>
          <w:color w:val="000000"/>
          <w:sz w:val="22"/>
          <w:szCs w:val="22"/>
        </w:rPr>
        <w:t xml:space="preserve">in order </w:t>
      </w:r>
      <w:r>
        <w:rPr>
          <w:rFonts w:ascii="Times New Roman" w:eastAsia="Times New Roman" w:hAnsi="Times New Roman" w:cs="Times New Roman"/>
          <w:color w:val="000000"/>
          <w:sz w:val="22"/>
          <w:szCs w:val="22"/>
        </w:rPr>
        <w:t>for</w:t>
      </w:r>
      <w:proofErr w:type="gramEnd"/>
      <w:r>
        <w:rPr>
          <w:rFonts w:ascii="Times New Roman" w:eastAsia="Times New Roman" w:hAnsi="Times New Roman" w:cs="Times New Roman"/>
          <w:color w:val="000000"/>
          <w:sz w:val="22"/>
          <w:szCs w:val="22"/>
        </w:rPr>
        <w:t xml:space="preserve"> SIDS to take advantage of this blue wave and participate in these markets, significant debt structuring and/or complicated negotiations of debt swaps, facilitated through willing philanthropic partners are required. Difficult, but not impossible, heavi</w:t>
      </w:r>
      <w:r>
        <w:rPr>
          <w:rFonts w:ascii="Times New Roman" w:eastAsia="Times New Roman" w:hAnsi="Times New Roman" w:cs="Times New Roman"/>
          <w:color w:val="000000"/>
          <w:sz w:val="22"/>
          <w:szCs w:val="22"/>
        </w:rPr>
        <w:t>ly indebted middle-income SIDS like Seychelles and more recently Belize, have successfully navigated these many pitfalls and brought to bear sustainable and financially sound Blue Bond schemes that can be scaled and replicated across other SIDS.</w:t>
      </w:r>
    </w:p>
    <w:p w14:paraId="0D770AEB" w14:textId="77777777" w:rsidR="006D6E1E" w:rsidRDefault="006D6E1E">
      <w:pPr>
        <w:shd w:val="clear" w:color="auto" w:fill="FFFFFF"/>
        <w:jc w:val="both"/>
        <w:rPr>
          <w:rFonts w:ascii="Times New Roman" w:eastAsia="Times New Roman" w:hAnsi="Times New Roman" w:cs="Times New Roman"/>
          <w:color w:val="000000"/>
          <w:sz w:val="22"/>
          <w:szCs w:val="22"/>
        </w:rPr>
      </w:pPr>
    </w:p>
    <w:p w14:paraId="2AEA9145" w14:textId="77777777" w:rsidR="006D6E1E" w:rsidRDefault="00F53248">
      <w:pP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This sess</w:t>
      </w:r>
      <w:r>
        <w:rPr>
          <w:rFonts w:ascii="Times New Roman" w:eastAsia="Times New Roman" w:hAnsi="Times New Roman" w:cs="Times New Roman"/>
          <w:color w:val="000000"/>
          <w:sz w:val="22"/>
          <w:szCs w:val="22"/>
        </w:rPr>
        <w:t>ion will explore the challenges to and opportunities for sustainable blue economy investment, including trade-offs and risks and pathways to change. It will zoom in on the use of blue bonds as a tool to finance sustainable blue economies, discussing lesson</w:t>
      </w:r>
      <w:r>
        <w:rPr>
          <w:rFonts w:ascii="Times New Roman" w:eastAsia="Times New Roman" w:hAnsi="Times New Roman" w:cs="Times New Roman"/>
          <w:color w:val="000000"/>
          <w:sz w:val="22"/>
          <w:szCs w:val="22"/>
        </w:rPr>
        <w:t>s and experiences from pioneering countries and ways in which blue bond schemes can be simplified and made more accessible, including through the universal adoption of a Multidimensional Vulnerability Index (MVI). It will ultimately canvass ways to make in</w:t>
      </w:r>
      <w:r>
        <w:rPr>
          <w:rFonts w:ascii="Times New Roman" w:eastAsia="Times New Roman" w:hAnsi="Times New Roman" w:cs="Times New Roman"/>
          <w:color w:val="000000"/>
          <w:sz w:val="22"/>
          <w:szCs w:val="22"/>
        </w:rPr>
        <w:t>vestments in the blue economy space more integrated, transformative and durable, to achieve a sustainable blue economy that works for everyone.</w:t>
      </w:r>
    </w:p>
    <w:p w14:paraId="03D3CAE1" w14:textId="77777777" w:rsidR="006D6E1E" w:rsidRDefault="006D6E1E">
      <w:pPr>
        <w:jc w:val="both"/>
        <w:rPr>
          <w:rFonts w:ascii="Times New Roman" w:eastAsia="Times New Roman" w:hAnsi="Times New Roman" w:cs="Times New Roman"/>
          <w:b/>
          <w:color w:val="0070C0"/>
          <w:sz w:val="22"/>
          <w:szCs w:val="22"/>
          <w:highlight w:val="white"/>
        </w:rPr>
      </w:pPr>
    </w:p>
    <w:p w14:paraId="6F1ABFCD" w14:textId="77777777" w:rsidR="006D6E1E" w:rsidRDefault="006D6E1E">
      <w:pPr>
        <w:jc w:val="both"/>
        <w:rPr>
          <w:rFonts w:ascii="Times New Roman" w:eastAsia="Times New Roman" w:hAnsi="Times New Roman" w:cs="Times New Roman"/>
          <w:b/>
          <w:color w:val="0070C0"/>
          <w:sz w:val="22"/>
          <w:szCs w:val="22"/>
          <w:highlight w:val="white"/>
        </w:rPr>
      </w:pPr>
    </w:p>
    <w:p w14:paraId="703CFFCD" w14:textId="77777777" w:rsidR="006D6E1E" w:rsidRDefault="006D6E1E">
      <w:pPr>
        <w:jc w:val="both"/>
        <w:rPr>
          <w:rFonts w:ascii="Times New Roman" w:eastAsia="Times New Roman" w:hAnsi="Times New Roman" w:cs="Times New Roman"/>
          <w:b/>
          <w:color w:val="0070C0"/>
          <w:sz w:val="22"/>
          <w:szCs w:val="22"/>
          <w:highlight w:val="white"/>
        </w:rPr>
      </w:pPr>
    </w:p>
    <w:p w14:paraId="6F2E3DB3" w14:textId="77777777" w:rsidR="006D6E1E" w:rsidRDefault="006D6E1E">
      <w:pPr>
        <w:jc w:val="both"/>
        <w:rPr>
          <w:rFonts w:ascii="Times New Roman" w:eastAsia="Times New Roman" w:hAnsi="Times New Roman" w:cs="Times New Roman"/>
          <w:b/>
          <w:color w:val="0070C0"/>
          <w:sz w:val="22"/>
          <w:szCs w:val="22"/>
          <w:highlight w:val="white"/>
        </w:rPr>
      </w:pPr>
    </w:p>
    <w:p w14:paraId="5C020153" w14:textId="77777777" w:rsidR="006D6E1E" w:rsidRDefault="006D6E1E">
      <w:pPr>
        <w:jc w:val="both"/>
        <w:rPr>
          <w:rFonts w:ascii="Times New Roman" w:eastAsia="Times New Roman" w:hAnsi="Times New Roman" w:cs="Times New Roman"/>
          <w:b/>
          <w:color w:val="0070C0"/>
          <w:sz w:val="22"/>
          <w:szCs w:val="22"/>
          <w:highlight w:val="white"/>
        </w:rPr>
      </w:pPr>
    </w:p>
    <w:p w14:paraId="53F9AC63" w14:textId="77777777" w:rsidR="006D6E1E" w:rsidRDefault="00F53248">
      <w:pPr>
        <w:jc w:val="both"/>
        <w:rPr>
          <w:rFonts w:ascii="Times New Roman" w:eastAsia="Times New Roman" w:hAnsi="Times New Roman" w:cs="Times New Roman"/>
          <w:b/>
          <w:color w:val="0070C0"/>
          <w:sz w:val="22"/>
          <w:szCs w:val="22"/>
          <w:highlight w:val="white"/>
        </w:rPr>
      </w:pPr>
      <w:r>
        <w:rPr>
          <w:rFonts w:ascii="Times New Roman" w:eastAsia="Times New Roman" w:hAnsi="Times New Roman" w:cs="Times New Roman"/>
          <w:b/>
          <w:color w:val="0070C0"/>
          <w:sz w:val="22"/>
          <w:szCs w:val="22"/>
          <w:highlight w:val="white"/>
        </w:rPr>
        <w:t xml:space="preserve">Running Order </w:t>
      </w:r>
    </w:p>
    <w:p w14:paraId="2C5726A3" w14:textId="77777777" w:rsidR="006D6E1E" w:rsidRDefault="006D6E1E">
      <w:pPr>
        <w:jc w:val="both"/>
        <w:rPr>
          <w:b/>
          <w:color w:val="0070C0"/>
          <w:highlight w:val="white"/>
        </w:rPr>
      </w:pPr>
    </w:p>
    <w:p w14:paraId="2671F86F" w14:textId="77777777" w:rsidR="006D6E1E" w:rsidRDefault="00F53248">
      <w:p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*Room set up for interactive dialogue</w:t>
      </w:r>
    </w:p>
    <w:p w14:paraId="7D547D28" w14:textId="77777777" w:rsidR="006D6E1E" w:rsidRDefault="006D6E1E">
      <w:pPr>
        <w:jc w:val="both"/>
        <w:rPr>
          <w:b/>
          <w:color w:val="0070C0"/>
          <w:highlight w:val="white"/>
        </w:rPr>
      </w:pPr>
    </w:p>
    <w:tbl>
      <w:tblPr>
        <w:tblStyle w:val="a"/>
        <w:tblW w:w="9350" w:type="dxa"/>
        <w:tblBorders>
          <w:top w:val="nil"/>
          <w:left w:val="nil"/>
          <w:bottom w:val="nil"/>
          <w:right w:val="nil"/>
          <w:insideH w:val="nil"/>
          <w:insideV w:val="nil"/>
        </w:tblBorders>
        <w:tblLayout w:type="fixed"/>
        <w:tblLook w:val="0400" w:firstRow="0" w:lastRow="0" w:firstColumn="0" w:lastColumn="0" w:noHBand="0" w:noVBand="1"/>
      </w:tblPr>
      <w:tblGrid>
        <w:gridCol w:w="1808"/>
        <w:gridCol w:w="2865"/>
        <w:gridCol w:w="4677"/>
      </w:tblGrid>
      <w:tr w:rsidR="006D6E1E" w14:paraId="10AE0BE4" w14:textId="77777777">
        <w:tc>
          <w:tcPr>
            <w:tcW w:w="1808" w:type="dxa"/>
          </w:tcPr>
          <w:p w14:paraId="2D5268A2" w14:textId="77777777" w:rsidR="006D6E1E" w:rsidRDefault="00F5324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1</w:t>
            </w:r>
            <w:r>
              <w:rPr>
                <w:rFonts w:ascii="Times New Roman" w:eastAsia="Times New Roman" w:hAnsi="Times New Roman" w:cs="Times New Roman"/>
                <w:sz w:val="22"/>
                <w:szCs w:val="22"/>
                <w:highlight w:val="white"/>
              </w:rPr>
              <w:t>3</w:t>
            </w:r>
            <w:r>
              <w:rPr>
                <w:rFonts w:ascii="Times New Roman" w:eastAsia="Times New Roman" w:hAnsi="Times New Roman" w:cs="Times New Roman"/>
                <w:color w:val="000000"/>
                <w:sz w:val="22"/>
                <w:szCs w:val="22"/>
                <w:highlight w:val="white"/>
              </w:rPr>
              <w:t>:30 - 1</w:t>
            </w:r>
            <w:r>
              <w:rPr>
                <w:rFonts w:ascii="Times New Roman" w:eastAsia="Times New Roman" w:hAnsi="Times New Roman" w:cs="Times New Roman"/>
                <w:sz w:val="22"/>
                <w:szCs w:val="22"/>
                <w:highlight w:val="white"/>
              </w:rPr>
              <w:t>3</w:t>
            </w:r>
            <w:r>
              <w:rPr>
                <w:rFonts w:ascii="Times New Roman" w:eastAsia="Times New Roman" w:hAnsi="Times New Roman" w:cs="Times New Roman"/>
                <w:color w:val="000000"/>
                <w:sz w:val="22"/>
                <w:szCs w:val="22"/>
                <w:highlight w:val="white"/>
              </w:rPr>
              <w:t>:35</w:t>
            </w:r>
          </w:p>
          <w:p w14:paraId="4D84E77E" w14:textId="77777777" w:rsidR="006D6E1E" w:rsidRDefault="00F5324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(5 min)</w:t>
            </w:r>
          </w:p>
        </w:tc>
        <w:tc>
          <w:tcPr>
            <w:tcW w:w="2865" w:type="dxa"/>
          </w:tcPr>
          <w:p w14:paraId="7EB1A20A" w14:textId="77777777" w:rsidR="006D6E1E" w:rsidRDefault="00F53248">
            <w:pPr>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rPr>
              <w:t xml:space="preserve">Welcome </w:t>
            </w:r>
          </w:p>
        </w:tc>
        <w:tc>
          <w:tcPr>
            <w:tcW w:w="4677" w:type="dxa"/>
          </w:tcPr>
          <w:p w14:paraId="7FA24E98" w14:textId="77777777" w:rsidR="006D6E1E" w:rsidRDefault="00F5324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Maria </w:t>
            </w:r>
            <w:proofErr w:type="spellStart"/>
            <w:r>
              <w:rPr>
                <w:rFonts w:ascii="Times New Roman" w:eastAsia="Times New Roman" w:hAnsi="Times New Roman" w:cs="Times New Roman"/>
                <w:color w:val="000000"/>
                <w:sz w:val="22"/>
                <w:szCs w:val="22"/>
              </w:rPr>
              <w:t>Damanaki</w:t>
            </w:r>
            <w:proofErr w:type="spellEnd"/>
            <w:r>
              <w:rPr>
                <w:rFonts w:ascii="Times New Roman" w:eastAsia="Times New Roman" w:hAnsi="Times New Roman" w:cs="Times New Roman"/>
                <w:color w:val="000000"/>
                <w:sz w:val="22"/>
                <w:szCs w:val="22"/>
              </w:rPr>
              <w:t>, Former EU Commissioner for Oceans and Fisheries (TBC)</w:t>
            </w:r>
          </w:p>
        </w:tc>
      </w:tr>
      <w:tr w:rsidR="006D6E1E" w14:paraId="4418495D" w14:textId="77777777">
        <w:tc>
          <w:tcPr>
            <w:tcW w:w="1808" w:type="dxa"/>
          </w:tcPr>
          <w:p w14:paraId="000AE83F" w14:textId="77777777" w:rsidR="006D6E1E" w:rsidRDefault="006D6E1E">
            <w:pPr>
              <w:jc w:val="both"/>
              <w:rPr>
                <w:rFonts w:ascii="Times New Roman" w:eastAsia="Times New Roman" w:hAnsi="Times New Roman" w:cs="Times New Roman"/>
                <w:color w:val="000000"/>
                <w:sz w:val="22"/>
                <w:szCs w:val="22"/>
                <w:highlight w:val="white"/>
              </w:rPr>
            </w:pPr>
          </w:p>
        </w:tc>
        <w:tc>
          <w:tcPr>
            <w:tcW w:w="2865" w:type="dxa"/>
          </w:tcPr>
          <w:p w14:paraId="3D7C7820" w14:textId="77777777" w:rsidR="006D6E1E" w:rsidRDefault="006D6E1E">
            <w:pPr>
              <w:jc w:val="both"/>
              <w:rPr>
                <w:rFonts w:ascii="Times New Roman" w:eastAsia="Times New Roman" w:hAnsi="Times New Roman" w:cs="Times New Roman"/>
                <w:color w:val="000000"/>
                <w:sz w:val="22"/>
                <w:szCs w:val="22"/>
                <w:highlight w:val="white"/>
              </w:rPr>
            </w:pPr>
          </w:p>
        </w:tc>
        <w:tc>
          <w:tcPr>
            <w:tcW w:w="4677" w:type="dxa"/>
          </w:tcPr>
          <w:p w14:paraId="6B194927" w14:textId="77777777" w:rsidR="006D6E1E" w:rsidRDefault="006D6E1E">
            <w:pPr>
              <w:jc w:val="both"/>
              <w:rPr>
                <w:rFonts w:ascii="Times New Roman" w:eastAsia="Times New Roman" w:hAnsi="Times New Roman" w:cs="Times New Roman"/>
                <w:color w:val="000000"/>
                <w:sz w:val="22"/>
                <w:szCs w:val="22"/>
                <w:highlight w:val="white"/>
              </w:rPr>
            </w:pPr>
          </w:p>
        </w:tc>
      </w:tr>
      <w:tr w:rsidR="006D6E1E" w14:paraId="1F287B78" w14:textId="77777777">
        <w:tc>
          <w:tcPr>
            <w:tcW w:w="1808" w:type="dxa"/>
          </w:tcPr>
          <w:p w14:paraId="72C359B6" w14:textId="77777777" w:rsidR="006D6E1E" w:rsidRDefault="00F5324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1</w:t>
            </w:r>
            <w:r>
              <w:rPr>
                <w:rFonts w:ascii="Times New Roman" w:eastAsia="Times New Roman" w:hAnsi="Times New Roman" w:cs="Times New Roman"/>
                <w:sz w:val="22"/>
                <w:szCs w:val="22"/>
                <w:highlight w:val="white"/>
              </w:rPr>
              <w:t>3</w:t>
            </w:r>
            <w:r>
              <w:rPr>
                <w:rFonts w:ascii="Times New Roman" w:eastAsia="Times New Roman" w:hAnsi="Times New Roman" w:cs="Times New Roman"/>
                <w:color w:val="000000"/>
                <w:sz w:val="22"/>
                <w:szCs w:val="22"/>
                <w:highlight w:val="white"/>
              </w:rPr>
              <w:t>:35 - 1</w:t>
            </w:r>
            <w:r>
              <w:rPr>
                <w:rFonts w:ascii="Times New Roman" w:eastAsia="Times New Roman" w:hAnsi="Times New Roman" w:cs="Times New Roman"/>
                <w:sz w:val="22"/>
                <w:szCs w:val="22"/>
                <w:highlight w:val="white"/>
              </w:rPr>
              <w:t>3</w:t>
            </w:r>
            <w:r>
              <w:rPr>
                <w:rFonts w:ascii="Times New Roman" w:eastAsia="Times New Roman" w:hAnsi="Times New Roman" w:cs="Times New Roman"/>
                <w:color w:val="000000"/>
                <w:sz w:val="22"/>
                <w:szCs w:val="22"/>
                <w:highlight w:val="white"/>
              </w:rPr>
              <w:t>:45</w:t>
            </w:r>
          </w:p>
          <w:p w14:paraId="4B558EA8" w14:textId="77777777" w:rsidR="006D6E1E" w:rsidRDefault="00F5324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(10 min)</w:t>
            </w:r>
          </w:p>
        </w:tc>
        <w:tc>
          <w:tcPr>
            <w:tcW w:w="2865" w:type="dxa"/>
          </w:tcPr>
          <w:p w14:paraId="2C4EA078" w14:textId="77777777" w:rsidR="006D6E1E" w:rsidRDefault="00F53248">
            <w:pPr>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rPr>
              <w:t>Opening Remarks</w:t>
            </w:r>
          </w:p>
        </w:tc>
        <w:tc>
          <w:tcPr>
            <w:tcW w:w="4677" w:type="dxa"/>
          </w:tcPr>
          <w:p w14:paraId="5F6EE279" w14:textId="77777777" w:rsidR="006D6E1E" w:rsidRDefault="00F53248">
            <w:pPr>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Prime Minister of Samoa / President of Seychelles (TBC)</w:t>
            </w:r>
          </w:p>
          <w:p w14:paraId="3BF335B7" w14:textId="77777777" w:rsidR="006D6E1E" w:rsidRDefault="006D6E1E">
            <w:pPr>
              <w:rPr>
                <w:rFonts w:ascii="Times New Roman" w:eastAsia="Times New Roman" w:hAnsi="Times New Roman" w:cs="Times New Roman"/>
                <w:color w:val="000000"/>
                <w:sz w:val="22"/>
                <w:szCs w:val="22"/>
                <w:highlight w:val="white"/>
              </w:rPr>
            </w:pPr>
          </w:p>
          <w:p w14:paraId="7C608DAF" w14:textId="77777777" w:rsidR="006D6E1E" w:rsidRDefault="00F53248">
            <w:pPr>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Carlos Manuel Rodriguez, CEO and Chairperson, Global Environment Facility</w:t>
            </w:r>
          </w:p>
        </w:tc>
      </w:tr>
      <w:tr w:rsidR="006D6E1E" w14:paraId="3F1BBAE9" w14:textId="77777777">
        <w:tc>
          <w:tcPr>
            <w:tcW w:w="1808" w:type="dxa"/>
          </w:tcPr>
          <w:p w14:paraId="6F157F09" w14:textId="77777777" w:rsidR="006D6E1E" w:rsidRDefault="006D6E1E">
            <w:pPr>
              <w:jc w:val="both"/>
              <w:rPr>
                <w:rFonts w:ascii="Times New Roman" w:eastAsia="Times New Roman" w:hAnsi="Times New Roman" w:cs="Times New Roman"/>
                <w:color w:val="000000"/>
                <w:sz w:val="22"/>
                <w:szCs w:val="22"/>
                <w:highlight w:val="white"/>
              </w:rPr>
            </w:pPr>
          </w:p>
        </w:tc>
        <w:tc>
          <w:tcPr>
            <w:tcW w:w="2865" w:type="dxa"/>
          </w:tcPr>
          <w:p w14:paraId="26B7714F" w14:textId="77777777" w:rsidR="006D6E1E" w:rsidRDefault="006D6E1E">
            <w:pPr>
              <w:jc w:val="both"/>
              <w:rPr>
                <w:rFonts w:ascii="Times New Roman" w:eastAsia="Times New Roman" w:hAnsi="Times New Roman" w:cs="Times New Roman"/>
                <w:color w:val="000000"/>
                <w:sz w:val="22"/>
                <w:szCs w:val="22"/>
                <w:highlight w:val="white"/>
              </w:rPr>
            </w:pPr>
          </w:p>
        </w:tc>
        <w:tc>
          <w:tcPr>
            <w:tcW w:w="4677" w:type="dxa"/>
          </w:tcPr>
          <w:p w14:paraId="6682B30C" w14:textId="77777777" w:rsidR="006D6E1E" w:rsidRDefault="006D6E1E">
            <w:pPr>
              <w:jc w:val="both"/>
              <w:rPr>
                <w:rFonts w:ascii="Times New Roman" w:eastAsia="Times New Roman" w:hAnsi="Times New Roman" w:cs="Times New Roman"/>
                <w:color w:val="000000"/>
                <w:sz w:val="22"/>
                <w:szCs w:val="22"/>
                <w:highlight w:val="white"/>
              </w:rPr>
            </w:pPr>
          </w:p>
        </w:tc>
      </w:tr>
      <w:tr w:rsidR="006D6E1E" w14:paraId="6D94BE7D" w14:textId="77777777">
        <w:tc>
          <w:tcPr>
            <w:tcW w:w="1808" w:type="dxa"/>
          </w:tcPr>
          <w:p w14:paraId="25DE5789" w14:textId="77777777" w:rsidR="006D6E1E" w:rsidRDefault="00F5324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1</w:t>
            </w:r>
            <w:r>
              <w:rPr>
                <w:rFonts w:ascii="Times New Roman" w:eastAsia="Times New Roman" w:hAnsi="Times New Roman" w:cs="Times New Roman"/>
                <w:sz w:val="22"/>
                <w:szCs w:val="22"/>
                <w:highlight w:val="white"/>
              </w:rPr>
              <w:t>3</w:t>
            </w:r>
            <w:r>
              <w:rPr>
                <w:rFonts w:ascii="Times New Roman" w:eastAsia="Times New Roman" w:hAnsi="Times New Roman" w:cs="Times New Roman"/>
                <w:color w:val="000000"/>
                <w:sz w:val="22"/>
                <w:szCs w:val="22"/>
                <w:highlight w:val="white"/>
              </w:rPr>
              <w:t>:45 - 1</w:t>
            </w:r>
            <w:r>
              <w:rPr>
                <w:rFonts w:ascii="Times New Roman" w:eastAsia="Times New Roman" w:hAnsi="Times New Roman" w:cs="Times New Roman"/>
                <w:sz w:val="22"/>
                <w:szCs w:val="22"/>
                <w:highlight w:val="white"/>
              </w:rPr>
              <w:t>3</w:t>
            </w:r>
            <w:r>
              <w:rPr>
                <w:rFonts w:ascii="Times New Roman" w:eastAsia="Times New Roman" w:hAnsi="Times New Roman" w:cs="Times New Roman"/>
                <w:color w:val="000000"/>
                <w:sz w:val="22"/>
                <w:szCs w:val="22"/>
                <w:highlight w:val="white"/>
              </w:rPr>
              <w:t>:55</w:t>
            </w:r>
          </w:p>
          <w:p w14:paraId="5DD0E2E8" w14:textId="77777777" w:rsidR="006D6E1E" w:rsidRDefault="00F5324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(10 min)</w:t>
            </w:r>
          </w:p>
          <w:p w14:paraId="319DCAB4" w14:textId="77777777" w:rsidR="006D6E1E" w:rsidRDefault="006D6E1E">
            <w:pPr>
              <w:jc w:val="both"/>
              <w:rPr>
                <w:rFonts w:ascii="Times New Roman" w:eastAsia="Times New Roman" w:hAnsi="Times New Roman" w:cs="Times New Roman"/>
                <w:color w:val="000000"/>
                <w:sz w:val="22"/>
                <w:szCs w:val="22"/>
                <w:highlight w:val="white"/>
              </w:rPr>
            </w:pPr>
          </w:p>
        </w:tc>
        <w:tc>
          <w:tcPr>
            <w:tcW w:w="2865" w:type="dxa"/>
          </w:tcPr>
          <w:p w14:paraId="0D762EDD" w14:textId="77777777" w:rsidR="006D6E1E" w:rsidRDefault="00F53248">
            <w:pPr>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A Framework for a Sustainable Blue Economy</w:t>
            </w:r>
          </w:p>
        </w:tc>
        <w:tc>
          <w:tcPr>
            <w:tcW w:w="4677" w:type="dxa"/>
          </w:tcPr>
          <w:p w14:paraId="09F0951A" w14:textId="77777777" w:rsidR="006D6E1E" w:rsidRDefault="00F53248">
            <w:pPr>
              <w:shd w:val="clear" w:color="auto" w:fill="FFFFFF"/>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Blake Ratner, GEF Scientific and Technical Advisory Panel</w:t>
            </w:r>
          </w:p>
        </w:tc>
      </w:tr>
      <w:tr w:rsidR="006D6E1E" w14:paraId="43AAA7A4" w14:textId="77777777">
        <w:tc>
          <w:tcPr>
            <w:tcW w:w="1808" w:type="dxa"/>
          </w:tcPr>
          <w:p w14:paraId="7E5CBC84" w14:textId="77777777" w:rsidR="006D6E1E" w:rsidRDefault="006D6E1E">
            <w:pPr>
              <w:jc w:val="both"/>
              <w:rPr>
                <w:rFonts w:ascii="Times New Roman" w:eastAsia="Times New Roman" w:hAnsi="Times New Roman" w:cs="Times New Roman"/>
                <w:color w:val="000000"/>
                <w:sz w:val="22"/>
                <w:szCs w:val="22"/>
                <w:highlight w:val="white"/>
              </w:rPr>
            </w:pPr>
          </w:p>
        </w:tc>
        <w:tc>
          <w:tcPr>
            <w:tcW w:w="2865" w:type="dxa"/>
          </w:tcPr>
          <w:p w14:paraId="46B8FE93" w14:textId="77777777" w:rsidR="006D6E1E" w:rsidRDefault="006D6E1E">
            <w:pPr>
              <w:rPr>
                <w:rFonts w:ascii="Times New Roman" w:eastAsia="Times New Roman" w:hAnsi="Times New Roman" w:cs="Times New Roman"/>
                <w:color w:val="000000"/>
                <w:sz w:val="22"/>
                <w:szCs w:val="22"/>
                <w:highlight w:val="white"/>
              </w:rPr>
            </w:pPr>
          </w:p>
        </w:tc>
        <w:tc>
          <w:tcPr>
            <w:tcW w:w="4677" w:type="dxa"/>
          </w:tcPr>
          <w:p w14:paraId="420B3986" w14:textId="77777777" w:rsidR="006D6E1E" w:rsidRDefault="006D6E1E">
            <w:pPr>
              <w:shd w:val="clear" w:color="auto" w:fill="FFFFFF"/>
              <w:rPr>
                <w:rFonts w:ascii="Times New Roman" w:eastAsia="Times New Roman" w:hAnsi="Times New Roman" w:cs="Times New Roman"/>
                <w:color w:val="000000"/>
                <w:sz w:val="22"/>
                <w:szCs w:val="22"/>
              </w:rPr>
            </w:pPr>
          </w:p>
        </w:tc>
      </w:tr>
      <w:tr w:rsidR="006D6E1E" w14:paraId="1CAE5395" w14:textId="77777777">
        <w:tc>
          <w:tcPr>
            <w:tcW w:w="1808" w:type="dxa"/>
          </w:tcPr>
          <w:p w14:paraId="04EE0FE1" w14:textId="77777777" w:rsidR="006D6E1E" w:rsidRDefault="00F5324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1</w:t>
            </w:r>
            <w:r>
              <w:rPr>
                <w:rFonts w:ascii="Times New Roman" w:eastAsia="Times New Roman" w:hAnsi="Times New Roman" w:cs="Times New Roman"/>
                <w:sz w:val="22"/>
                <w:szCs w:val="22"/>
                <w:highlight w:val="white"/>
              </w:rPr>
              <w:t>3</w:t>
            </w:r>
            <w:r>
              <w:rPr>
                <w:rFonts w:ascii="Times New Roman" w:eastAsia="Times New Roman" w:hAnsi="Times New Roman" w:cs="Times New Roman"/>
                <w:color w:val="000000"/>
                <w:sz w:val="22"/>
                <w:szCs w:val="22"/>
                <w:highlight w:val="white"/>
              </w:rPr>
              <w:t>:55 - 1</w:t>
            </w:r>
            <w:r>
              <w:rPr>
                <w:rFonts w:ascii="Times New Roman" w:eastAsia="Times New Roman" w:hAnsi="Times New Roman" w:cs="Times New Roman"/>
                <w:sz w:val="22"/>
                <w:szCs w:val="22"/>
                <w:highlight w:val="white"/>
              </w:rPr>
              <w:t>4</w:t>
            </w:r>
            <w:r>
              <w:rPr>
                <w:rFonts w:ascii="Times New Roman" w:eastAsia="Times New Roman" w:hAnsi="Times New Roman" w:cs="Times New Roman"/>
                <w:color w:val="000000"/>
                <w:sz w:val="22"/>
                <w:szCs w:val="22"/>
                <w:highlight w:val="white"/>
              </w:rPr>
              <w:t>:05</w:t>
            </w:r>
          </w:p>
          <w:p w14:paraId="3BE3E149" w14:textId="77777777" w:rsidR="006D6E1E" w:rsidRDefault="00F5324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(10 min)</w:t>
            </w:r>
          </w:p>
          <w:p w14:paraId="3046905A" w14:textId="77777777" w:rsidR="006D6E1E" w:rsidRDefault="006D6E1E">
            <w:pPr>
              <w:jc w:val="both"/>
              <w:rPr>
                <w:rFonts w:ascii="Times New Roman" w:eastAsia="Times New Roman" w:hAnsi="Times New Roman" w:cs="Times New Roman"/>
                <w:color w:val="000000"/>
                <w:sz w:val="22"/>
                <w:szCs w:val="22"/>
                <w:highlight w:val="white"/>
              </w:rPr>
            </w:pPr>
          </w:p>
          <w:p w14:paraId="1E1C9694" w14:textId="77777777" w:rsidR="006D6E1E" w:rsidRDefault="006D6E1E">
            <w:pPr>
              <w:jc w:val="both"/>
              <w:rPr>
                <w:rFonts w:ascii="Times New Roman" w:eastAsia="Times New Roman" w:hAnsi="Times New Roman" w:cs="Times New Roman"/>
                <w:color w:val="000000"/>
                <w:sz w:val="22"/>
                <w:szCs w:val="22"/>
                <w:highlight w:val="white"/>
              </w:rPr>
            </w:pPr>
          </w:p>
          <w:p w14:paraId="49C962FD" w14:textId="77777777" w:rsidR="006D6E1E" w:rsidRDefault="006D6E1E">
            <w:pPr>
              <w:jc w:val="both"/>
              <w:rPr>
                <w:rFonts w:ascii="Times New Roman" w:eastAsia="Times New Roman" w:hAnsi="Times New Roman" w:cs="Times New Roman"/>
                <w:color w:val="000000"/>
                <w:sz w:val="22"/>
                <w:szCs w:val="22"/>
                <w:highlight w:val="white"/>
              </w:rPr>
            </w:pPr>
          </w:p>
          <w:p w14:paraId="4DE758BA" w14:textId="77777777" w:rsidR="006D6E1E" w:rsidRDefault="006D6E1E">
            <w:pPr>
              <w:jc w:val="both"/>
              <w:rPr>
                <w:rFonts w:ascii="Times New Roman" w:eastAsia="Times New Roman" w:hAnsi="Times New Roman" w:cs="Times New Roman"/>
                <w:color w:val="000000"/>
                <w:sz w:val="22"/>
                <w:szCs w:val="22"/>
                <w:highlight w:val="white"/>
              </w:rPr>
            </w:pPr>
          </w:p>
        </w:tc>
        <w:tc>
          <w:tcPr>
            <w:tcW w:w="2865" w:type="dxa"/>
          </w:tcPr>
          <w:p w14:paraId="3F43C916" w14:textId="77777777" w:rsidR="006D6E1E" w:rsidRDefault="00F53248">
            <w:pPr>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Blue Bonds in Action</w:t>
            </w:r>
          </w:p>
          <w:p w14:paraId="268631F4" w14:textId="77777777" w:rsidR="006D6E1E" w:rsidRDefault="006D6E1E">
            <w:pPr>
              <w:rPr>
                <w:rFonts w:ascii="Times New Roman" w:eastAsia="Times New Roman" w:hAnsi="Times New Roman" w:cs="Times New Roman"/>
                <w:b/>
                <w:color w:val="000000"/>
                <w:sz w:val="22"/>
                <w:szCs w:val="22"/>
                <w:highlight w:val="white"/>
              </w:rPr>
            </w:pPr>
          </w:p>
          <w:p w14:paraId="053712C5" w14:textId="77777777" w:rsidR="006D6E1E" w:rsidRDefault="006D6E1E">
            <w:pPr>
              <w:rPr>
                <w:rFonts w:ascii="Times New Roman" w:eastAsia="Times New Roman" w:hAnsi="Times New Roman" w:cs="Times New Roman"/>
                <w:b/>
                <w:color w:val="000000"/>
                <w:sz w:val="22"/>
                <w:szCs w:val="22"/>
                <w:highlight w:val="white"/>
              </w:rPr>
            </w:pPr>
          </w:p>
        </w:tc>
        <w:tc>
          <w:tcPr>
            <w:tcW w:w="4677" w:type="dxa"/>
          </w:tcPr>
          <w:p w14:paraId="2CD7BABA" w14:textId="77777777" w:rsidR="006D6E1E" w:rsidRDefault="00F53248">
            <w:pPr>
              <w:shd w:val="clear" w:color="auto" w:fill="FFFFFF"/>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Seychelles Blue Bond for Fisheries Management SWIOFish3 GEF project</w:t>
            </w:r>
          </w:p>
          <w:p w14:paraId="6B233D05" w14:textId="77777777" w:rsidR="006D6E1E" w:rsidRDefault="00F53248">
            <w:pPr>
              <w:numPr>
                <w:ilvl w:val="0"/>
                <w:numId w:val="2"/>
              </w:numPr>
              <w:pBdr>
                <w:top w:val="nil"/>
                <w:left w:val="nil"/>
                <w:bottom w:val="nil"/>
                <w:right w:val="nil"/>
                <w:between w:val="nil"/>
              </w:pBdr>
              <w:shd w:val="clear" w:color="auto" w:fill="FFFFFF"/>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Jan Robinson, Project Manager, SWIOFish3 and/or Government of Seychelles (TBC)</w:t>
            </w:r>
          </w:p>
          <w:p w14:paraId="41E8E5A6" w14:textId="77777777" w:rsidR="006D6E1E" w:rsidRDefault="006D6E1E">
            <w:pPr>
              <w:shd w:val="clear" w:color="auto" w:fill="FFFFFF"/>
              <w:rPr>
                <w:rFonts w:ascii="Times New Roman" w:eastAsia="Times New Roman" w:hAnsi="Times New Roman" w:cs="Times New Roman"/>
                <w:color w:val="000000"/>
                <w:sz w:val="22"/>
                <w:szCs w:val="22"/>
              </w:rPr>
            </w:pPr>
          </w:p>
          <w:p w14:paraId="1EBEDC76" w14:textId="77777777" w:rsidR="006D6E1E" w:rsidRDefault="00F53248">
            <w:pPr>
              <w:shd w:val="clear" w:color="auto" w:fill="FFFFFF"/>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Belize Blue Bond</w:t>
            </w:r>
          </w:p>
          <w:p w14:paraId="1B1C5577" w14:textId="77777777" w:rsidR="006D6E1E" w:rsidRDefault="00F53248">
            <w:pPr>
              <w:numPr>
                <w:ilvl w:val="0"/>
                <w:numId w:val="1"/>
              </w:numPr>
              <w:pBdr>
                <w:top w:val="nil"/>
                <w:left w:val="nil"/>
                <w:bottom w:val="nil"/>
                <w:right w:val="nil"/>
                <w:between w:val="nil"/>
              </w:pBdr>
              <w:shd w:val="clear" w:color="auto" w:fill="FFFFFF"/>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Government of Belize (TBC)</w:t>
            </w:r>
          </w:p>
          <w:p w14:paraId="29076B5B" w14:textId="77777777" w:rsidR="006D6E1E" w:rsidRDefault="006D6E1E">
            <w:pPr>
              <w:shd w:val="clear" w:color="auto" w:fill="FFFFFF"/>
              <w:rPr>
                <w:rFonts w:ascii="Times New Roman" w:eastAsia="Times New Roman" w:hAnsi="Times New Roman" w:cs="Times New Roman"/>
                <w:color w:val="000000"/>
              </w:rPr>
            </w:pPr>
          </w:p>
        </w:tc>
      </w:tr>
      <w:tr w:rsidR="006D6E1E" w14:paraId="4C039090" w14:textId="77777777">
        <w:tc>
          <w:tcPr>
            <w:tcW w:w="1808" w:type="dxa"/>
          </w:tcPr>
          <w:p w14:paraId="66C94694" w14:textId="77777777" w:rsidR="006D6E1E" w:rsidRDefault="00F5324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1</w:t>
            </w:r>
            <w:r>
              <w:rPr>
                <w:rFonts w:ascii="Times New Roman" w:eastAsia="Times New Roman" w:hAnsi="Times New Roman" w:cs="Times New Roman"/>
                <w:sz w:val="22"/>
                <w:szCs w:val="22"/>
                <w:highlight w:val="white"/>
              </w:rPr>
              <w:t>4</w:t>
            </w:r>
            <w:r>
              <w:rPr>
                <w:rFonts w:ascii="Times New Roman" w:eastAsia="Times New Roman" w:hAnsi="Times New Roman" w:cs="Times New Roman"/>
                <w:color w:val="000000"/>
                <w:sz w:val="22"/>
                <w:szCs w:val="22"/>
                <w:highlight w:val="white"/>
              </w:rPr>
              <w:t>:05 - 1</w:t>
            </w:r>
            <w:r>
              <w:rPr>
                <w:rFonts w:ascii="Times New Roman" w:eastAsia="Times New Roman" w:hAnsi="Times New Roman" w:cs="Times New Roman"/>
                <w:sz w:val="22"/>
                <w:szCs w:val="22"/>
                <w:highlight w:val="white"/>
              </w:rPr>
              <w:t>4</w:t>
            </w:r>
            <w:r>
              <w:rPr>
                <w:rFonts w:ascii="Times New Roman" w:eastAsia="Times New Roman" w:hAnsi="Times New Roman" w:cs="Times New Roman"/>
                <w:color w:val="000000"/>
                <w:sz w:val="22"/>
                <w:szCs w:val="22"/>
                <w:highlight w:val="white"/>
              </w:rPr>
              <w:t>:40</w:t>
            </w:r>
          </w:p>
          <w:p w14:paraId="52A59898" w14:textId="77777777" w:rsidR="006D6E1E" w:rsidRDefault="00F5324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(35 min)</w:t>
            </w:r>
          </w:p>
        </w:tc>
        <w:tc>
          <w:tcPr>
            <w:tcW w:w="2865" w:type="dxa"/>
          </w:tcPr>
          <w:p w14:paraId="35DBF096" w14:textId="77777777" w:rsidR="006D6E1E" w:rsidRDefault="00F53248">
            <w:pPr>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Interactive Dialogue on Scaling Innovative, Transformative and Durable Blue Economy Investments in SIDS and possible use of the MVI</w:t>
            </w:r>
          </w:p>
        </w:tc>
        <w:tc>
          <w:tcPr>
            <w:tcW w:w="4677" w:type="dxa"/>
          </w:tcPr>
          <w:p w14:paraId="51A97D83" w14:textId="77777777" w:rsidR="006D6E1E" w:rsidRDefault="00F53248">
            <w:pPr>
              <w:shd w:val="clear" w:color="auto" w:fill="FFFFFF"/>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Facilitated by Maria </w:t>
            </w:r>
            <w:proofErr w:type="spellStart"/>
            <w:r>
              <w:rPr>
                <w:rFonts w:ascii="Times New Roman" w:eastAsia="Times New Roman" w:hAnsi="Times New Roman" w:cs="Times New Roman"/>
                <w:color w:val="000000"/>
                <w:sz w:val="22"/>
                <w:szCs w:val="22"/>
              </w:rPr>
              <w:t>Damanaki</w:t>
            </w:r>
            <w:proofErr w:type="spellEnd"/>
            <w:r>
              <w:rPr>
                <w:rFonts w:ascii="Times New Roman" w:eastAsia="Times New Roman" w:hAnsi="Times New Roman" w:cs="Times New Roman"/>
                <w:color w:val="000000"/>
                <w:sz w:val="22"/>
                <w:szCs w:val="22"/>
              </w:rPr>
              <w:t>, Former EU Commissioner for Oceans and Fisheries (TBC)</w:t>
            </w:r>
          </w:p>
          <w:p w14:paraId="6E40EE51" w14:textId="77777777" w:rsidR="006D6E1E" w:rsidRDefault="006D6E1E">
            <w:pPr>
              <w:shd w:val="clear" w:color="auto" w:fill="FFFFFF"/>
              <w:rPr>
                <w:rFonts w:ascii="Times New Roman" w:eastAsia="Times New Roman" w:hAnsi="Times New Roman" w:cs="Times New Roman"/>
                <w:color w:val="000000"/>
                <w:sz w:val="22"/>
                <w:szCs w:val="22"/>
              </w:rPr>
            </w:pPr>
          </w:p>
        </w:tc>
      </w:tr>
      <w:tr w:rsidR="006D6E1E" w14:paraId="234756E6" w14:textId="77777777">
        <w:tc>
          <w:tcPr>
            <w:tcW w:w="1808" w:type="dxa"/>
          </w:tcPr>
          <w:p w14:paraId="3FCDB6F5" w14:textId="77777777" w:rsidR="006D6E1E" w:rsidRDefault="006D6E1E">
            <w:pPr>
              <w:jc w:val="both"/>
              <w:rPr>
                <w:rFonts w:ascii="Times New Roman" w:eastAsia="Times New Roman" w:hAnsi="Times New Roman" w:cs="Times New Roman"/>
                <w:color w:val="000000"/>
                <w:sz w:val="22"/>
                <w:szCs w:val="22"/>
                <w:highlight w:val="white"/>
              </w:rPr>
            </w:pPr>
          </w:p>
        </w:tc>
        <w:tc>
          <w:tcPr>
            <w:tcW w:w="2865" w:type="dxa"/>
          </w:tcPr>
          <w:p w14:paraId="51F0BC41" w14:textId="77777777" w:rsidR="006D6E1E" w:rsidRDefault="006D6E1E">
            <w:pPr>
              <w:rPr>
                <w:rFonts w:ascii="Times New Roman" w:eastAsia="Times New Roman" w:hAnsi="Times New Roman" w:cs="Times New Roman"/>
                <w:b/>
                <w:color w:val="000000"/>
                <w:sz w:val="22"/>
                <w:szCs w:val="22"/>
                <w:highlight w:val="white"/>
              </w:rPr>
            </w:pPr>
          </w:p>
        </w:tc>
        <w:tc>
          <w:tcPr>
            <w:tcW w:w="4677" w:type="dxa"/>
          </w:tcPr>
          <w:p w14:paraId="1B72EEFE" w14:textId="77777777" w:rsidR="006D6E1E" w:rsidRDefault="006D6E1E">
            <w:pPr>
              <w:shd w:val="clear" w:color="auto" w:fill="FFFFFF"/>
              <w:rPr>
                <w:rFonts w:ascii="Times New Roman" w:eastAsia="Times New Roman" w:hAnsi="Times New Roman" w:cs="Times New Roman"/>
                <w:color w:val="000000"/>
                <w:sz w:val="22"/>
                <w:szCs w:val="22"/>
              </w:rPr>
            </w:pPr>
          </w:p>
        </w:tc>
      </w:tr>
      <w:tr w:rsidR="006D6E1E" w14:paraId="401E0DFB" w14:textId="77777777">
        <w:tc>
          <w:tcPr>
            <w:tcW w:w="1808" w:type="dxa"/>
          </w:tcPr>
          <w:p w14:paraId="02DD7A1E" w14:textId="77777777" w:rsidR="006D6E1E" w:rsidRDefault="006D6E1E">
            <w:pPr>
              <w:jc w:val="both"/>
              <w:rPr>
                <w:rFonts w:ascii="Times New Roman" w:eastAsia="Times New Roman" w:hAnsi="Times New Roman" w:cs="Times New Roman"/>
                <w:color w:val="000000"/>
                <w:sz w:val="22"/>
                <w:szCs w:val="22"/>
                <w:highlight w:val="white"/>
              </w:rPr>
            </w:pPr>
          </w:p>
        </w:tc>
        <w:tc>
          <w:tcPr>
            <w:tcW w:w="2865" w:type="dxa"/>
          </w:tcPr>
          <w:p w14:paraId="05A28C18" w14:textId="77777777" w:rsidR="006D6E1E" w:rsidRDefault="006D6E1E">
            <w:pPr>
              <w:rPr>
                <w:rFonts w:ascii="Times New Roman" w:eastAsia="Times New Roman" w:hAnsi="Times New Roman" w:cs="Times New Roman"/>
                <w:b/>
                <w:color w:val="000000"/>
                <w:sz w:val="22"/>
                <w:szCs w:val="22"/>
                <w:highlight w:val="white"/>
              </w:rPr>
            </w:pPr>
          </w:p>
        </w:tc>
        <w:tc>
          <w:tcPr>
            <w:tcW w:w="4677" w:type="dxa"/>
          </w:tcPr>
          <w:p w14:paraId="47E53B3A" w14:textId="77777777" w:rsidR="006D6E1E" w:rsidRDefault="006D6E1E">
            <w:pPr>
              <w:shd w:val="clear" w:color="auto" w:fill="FFFFFF"/>
              <w:rPr>
                <w:rFonts w:ascii="Times New Roman" w:eastAsia="Times New Roman" w:hAnsi="Times New Roman" w:cs="Times New Roman"/>
                <w:color w:val="000000"/>
                <w:sz w:val="22"/>
                <w:szCs w:val="22"/>
              </w:rPr>
            </w:pPr>
          </w:p>
        </w:tc>
      </w:tr>
      <w:tr w:rsidR="006D6E1E" w14:paraId="41865F83" w14:textId="77777777">
        <w:tc>
          <w:tcPr>
            <w:tcW w:w="1808" w:type="dxa"/>
          </w:tcPr>
          <w:p w14:paraId="5C0B32A5" w14:textId="77777777" w:rsidR="006D6E1E" w:rsidRDefault="00F5324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1</w:t>
            </w:r>
            <w:r>
              <w:rPr>
                <w:rFonts w:ascii="Times New Roman" w:eastAsia="Times New Roman" w:hAnsi="Times New Roman" w:cs="Times New Roman"/>
                <w:sz w:val="22"/>
                <w:szCs w:val="22"/>
                <w:highlight w:val="white"/>
              </w:rPr>
              <w:t>4</w:t>
            </w:r>
            <w:r>
              <w:rPr>
                <w:rFonts w:ascii="Times New Roman" w:eastAsia="Times New Roman" w:hAnsi="Times New Roman" w:cs="Times New Roman"/>
                <w:color w:val="000000"/>
                <w:sz w:val="22"/>
                <w:szCs w:val="22"/>
                <w:highlight w:val="white"/>
              </w:rPr>
              <w:t>:40 - 1</w:t>
            </w:r>
            <w:r>
              <w:rPr>
                <w:rFonts w:ascii="Times New Roman" w:eastAsia="Times New Roman" w:hAnsi="Times New Roman" w:cs="Times New Roman"/>
                <w:sz w:val="22"/>
                <w:szCs w:val="22"/>
                <w:highlight w:val="white"/>
              </w:rPr>
              <w:t>4</w:t>
            </w:r>
            <w:r>
              <w:rPr>
                <w:rFonts w:ascii="Times New Roman" w:eastAsia="Times New Roman" w:hAnsi="Times New Roman" w:cs="Times New Roman"/>
                <w:color w:val="000000"/>
                <w:sz w:val="22"/>
                <w:szCs w:val="22"/>
                <w:highlight w:val="white"/>
              </w:rPr>
              <w:t>:45</w:t>
            </w:r>
          </w:p>
          <w:p w14:paraId="34A2C353" w14:textId="77777777" w:rsidR="006D6E1E" w:rsidRDefault="00F53248">
            <w:pP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(5 min)</w:t>
            </w:r>
          </w:p>
        </w:tc>
        <w:tc>
          <w:tcPr>
            <w:tcW w:w="2865" w:type="dxa"/>
          </w:tcPr>
          <w:p w14:paraId="632C29C2" w14:textId="77777777" w:rsidR="006D6E1E" w:rsidRDefault="00F53248">
            <w:pPr>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Summary and Close</w:t>
            </w:r>
          </w:p>
        </w:tc>
        <w:tc>
          <w:tcPr>
            <w:tcW w:w="4677" w:type="dxa"/>
          </w:tcPr>
          <w:p w14:paraId="304AD2D1" w14:textId="77777777" w:rsidR="006D6E1E" w:rsidRDefault="00F53248">
            <w:pPr>
              <w:shd w:val="clear" w:color="auto" w:fill="FFFFFF"/>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Dr.</w:t>
            </w:r>
            <w:proofErr w:type="spellEnd"/>
            <w:r>
              <w:rPr>
                <w:rFonts w:ascii="Times New Roman" w:eastAsia="Times New Roman" w:hAnsi="Times New Roman" w:cs="Times New Roman"/>
                <w:color w:val="000000"/>
                <w:sz w:val="22"/>
                <w:szCs w:val="22"/>
              </w:rPr>
              <w:t xml:space="preserve"> Walton </w:t>
            </w:r>
            <w:proofErr w:type="spellStart"/>
            <w:r>
              <w:rPr>
                <w:rFonts w:ascii="Times New Roman" w:eastAsia="Times New Roman" w:hAnsi="Times New Roman" w:cs="Times New Roman"/>
                <w:color w:val="000000"/>
                <w:sz w:val="22"/>
                <w:szCs w:val="22"/>
              </w:rPr>
              <w:t>Webson</w:t>
            </w:r>
            <w:proofErr w:type="spellEnd"/>
            <w:r>
              <w:rPr>
                <w:rFonts w:ascii="Times New Roman" w:eastAsia="Times New Roman" w:hAnsi="Times New Roman" w:cs="Times New Roman"/>
                <w:color w:val="000000"/>
                <w:sz w:val="22"/>
                <w:szCs w:val="22"/>
              </w:rPr>
              <w:t>, Chair of AOSIS: Permanent Representative of Antigua &amp; Barbuda to the United Nations</w:t>
            </w:r>
          </w:p>
        </w:tc>
      </w:tr>
    </w:tbl>
    <w:p w14:paraId="5B0AF849" w14:textId="77777777" w:rsidR="006D6E1E" w:rsidRDefault="006D6E1E">
      <w:pPr>
        <w:ind w:left="2880" w:hanging="2880"/>
      </w:pPr>
    </w:p>
    <w:sectPr w:rsidR="006D6E1E">
      <w:pgSz w:w="12240" w:h="15840"/>
      <w:pgMar w:top="1020" w:right="1440" w:bottom="13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816"/>
    <w:multiLevelType w:val="multilevel"/>
    <w:tmpl w:val="62B2B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7D5252"/>
    <w:multiLevelType w:val="multilevel"/>
    <w:tmpl w:val="D9EE3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9826139">
    <w:abstractNumId w:val="1"/>
  </w:num>
  <w:num w:numId="2" w16cid:durableId="1141577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1E"/>
    <w:rsid w:val="002D29D7"/>
    <w:rsid w:val="006D6E1E"/>
    <w:rsid w:val="00F5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67D3BB"/>
  <w15:docId w15:val="{D324773E-1314-1347-8750-18B853BE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Montserrat" w:hAnsi="Montserrat" w:cs="Montserrat"/>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AE1576"/>
    <w:rPr>
      <w:color w:val="0000FF"/>
      <w:u w:val="single"/>
    </w:rPr>
  </w:style>
  <w:style w:type="paragraph" w:styleId="ListParagraph">
    <w:name w:val="List Paragraph"/>
    <w:basedOn w:val="Normal"/>
    <w:uiPriority w:val="34"/>
    <w:qFormat/>
    <w:rsid w:val="00A84F4A"/>
    <w:pPr>
      <w:spacing w:after="160"/>
      <w:ind w:left="720"/>
      <w:contextualSpacing/>
    </w:pPr>
    <w:rPr>
      <w:rFonts w:ascii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E47B6"/>
    <w:pPr>
      <w:spacing w:before="100" w:beforeAutospacing="1" w:after="100" w:afterAutospacing="1"/>
    </w:pPr>
    <w:rPr>
      <w:rFonts w:ascii="Times New Roman" w:eastAsia="Times New Roman" w:hAnsi="Times New Roman" w:cs="Times New Roman"/>
      <w:lang w:val="en-CA"/>
    </w:rPr>
  </w:style>
  <w:style w:type="paragraph" w:customStyle="1" w:styleId="paragraph">
    <w:name w:val="paragraph"/>
    <w:basedOn w:val="Normal"/>
    <w:rsid w:val="009E47B6"/>
    <w:pPr>
      <w:spacing w:before="100" w:beforeAutospacing="1" w:after="100" w:afterAutospacing="1"/>
    </w:pPr>
    <w:rPr>
      <w:rFonts w:ascii="Times New Roman" w:eastAsia="Times New Roman" w:hAnsi="Times New Roman" w:cs="Times New Roman"/>
      <w:lang w:val="en-CA"/>
    </w:rPr>
  </w:style>
  <w:style w:type="character" w:customStyle="1" w:styleId="eop">
    <w:name w:val="eop"/>
    <w:basedOn w:val="DefaultParagraphFont"/>
    <w:rsid w:val="009E47B6"/>
  </w:style>
  <w:style w:type="character" w:customStyle="1" w:styleId="normaltextrun">
    <w:name w:val="normaltextrun"/>
    <w:basedOn w:val="DefaultParagraphFont"/>
    <w:rsid w:val="009E47B6"/>
  </w:style>
  <w:style w:type="table" w:styleId="TableGrid">
    <w:name w:val="Table Grid"/>
    <w:basedOn w:val="TableNormal"/>
    <w:uiPriority w:val="39"/>
    <w:rsid w:val="0031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B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6B1B"/>
    <w:rPr>
      <w:rFonts w:ascii="Times New Roman" w:hAnsi="Times New Roman" w:cs="Times New Roman"/>
      <w:sz w:val="18"/>
      <w:szCs w:val="1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OsgveWwQW1OOytXBQw/bpJwehw==">AMUW2mXagInaEawx9z2YtRbVY6+UpSnHvrpaH0y8AUQWsYhCjBQScg3eZ5mcJfqWQrinX1csEP/l6kqZRbAiE/9aq6HR+rGhePs4/Y32qRTxq/TMunMO6tvLdhJVJ7wn0o5CRdi6T628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BD3630DCFF8C24CBD3FC17CD0F6E57A" ma:contentTypeVersion="7" ma:contentTypeDescription="Create a new document." ma:contentTypeScope="" ma:versionID="0c9e32cbfe59df66c1d31c3a52943ec8">
  <xsd:schema xmlns:xsd="http://www.w3.org/2001/XMLSchema" xmlns:xs="http://www.w3.org/2001/XMLSchema" xmlns:p="http://schemas.microsoft.com/office/2006/metadata/properties" xmlns:ns2="90f20341-b33e-48fe-90bb-5d6ea3fc3d92" targetNamespace="http://schemas.microsoft.com/office/2006/metadata/properties" ma:root="true" ma:fieldsID="2d570850feca24129e449c47bc35f29f" ns2:_="">
    <xsd:import namespace="90f20341-b33e-48fe-90bb-5d6ea3fc3d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20341-b33e-48fe-90bb-5d6ea3fc3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192D7E-C426-4438-94EC-35A3A1A74EDA}"/>
</file>

<file path=customXml/itemProps3.xml><?xml version="1.0" encoding="utf-8"?>
<ds:datastoreItem xmlns:ds="http://schemas.openxmlformats.org/officeDocument/2006/customXml" ds:itemID="{977FBCE6-0BB9-4CF2-BFDC-E829B973D212}"/>
</file>

<file path=customXml/itemProps4.xml><?xml version="1.0" encoding="utf-8"?>
<ds:datastoreItem xmlns:ds="http://schemas.openxmlformats.org/officeDocument/2006/customXml" ds:itemID="{F014CB56-AA0F-4808-9E69-F061926472FD}"/>
</file>

<file path=docProps/app.xml><?xml version="1.0" encoding="utf-8"?>
<Properties xmlns="http://schemas.openxmlformats.org/officeDocument/2006/extended-properties" xmlns:vt="http://schemas.openxmlformats.org/officeDocument/2006/docPropsVTypes">
  <Template>Normal.dotm</Template>
  <TotalTime>3</TotalTime>
  <Pages>2</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AOSIS</dc:creator>
  <cp:lastModifiedBy>Bryce Rudyk</cp:lastModifiedBy>
  <cp:revision>3</cp:revision>
  <dcterms:created xsi:type="dcterms:W3CDTF">2022-05-31T22:41:00Z</dcterms:created>
  <dcterms:modified xsi:type="dcterms:W3CDTF">2022-06-06T15:41:00Z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0x010100BBD3630DCFF8C24CBD3FC17CD0F6E57A</vt:lpwstr>
  </property>
</Properties>
</file>